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E3" w:rsidRDefault="00736FF7" w:rsidP="00736FF7">
      <w:pPr>
        <w:pStyle w:val="Default"/>
        <w:jc w:val="center"/>
        <w:rPr>
          <w:b/>
          <w:bCs/>
        </w:rPr>
      </w:pPr>
      <w:r w:rsidRPr="00736FF7">
        <w:rPr>
          <w:b/>
          <w:bCs/>
        </w:rPr>
        <w:t xml:space="preserve">Guidance </w:t>
      </w:r>
      <w:r w:rsidR="004E11E3">
        <w:rPr>
          <w:b/>
          <w:bCs/>
        </w:rPr>
        <w:t>regarding</w:t>
      </w:r>
      <w:r>
        <w:rPr>
          <w:b/>
          <w:bCs/>
        </w:rPr>
        <w:t xml:space="preserve"> </w:t>
      </w:r>
      <w:r w:rsidR="004E11E3">
        <w:rPr>
          <w:b/>
          <w:bCs/>
        </w:rPr>
        <w:t>clients’</w:t>
      </w:r>
      <w:r>
        <w:rPr>
          <w:b/>
          <w:bCs/>
        </w:rPr>
        <w:t xml:space="preserve"> </w:t>
      </w:r>
      <w:r w:rsidR="00BB5242">
        <w:rPr>
          <w:b/>
          <w:bCs/>
        </w:rPr>
        <w:t>eligibility</w:t>
      </w:r>
      <w:r>
        <w:rPr>
          <w:b/>
          <w:bCs/>
        </w:rPr>
        <w:t xml:space="preserve"> for</w:t>
      </w:r>
      <w:r w:rsidR="004E11E3">
        <w:rPr>
          <w:b/>
          <w:bCs/>
        </w:rPr>
        <w:t xml:space="preserve"> the</w:t>
      </w:r>
      <w:r>
        <w:rPr>
          <w:b/>
          <w:bCs/>
        </w:rPr>
        <w:t xml:space="preserve"> </w:t>
      </w:r>
      <w:proofErr w:type="spellStart"/>
      <w:r w:rsidRPr="00736FF7">
        <w:rPr>
          <w:b/>
          <w:bCs/>
        </w:rPr>
        <w:t>Eatwell</w:t>
      </w:r>
      <w:proofErr w:type="spellEnd"/>
      <w:r w:rsidRPr="00736FF7">
        <w:rPr>
          <w:b/>
          <w:bCs/>
        </w:rPr>
        <w:t xml:space="preserve"> Programme</w:t>
      </w:r>
      <w:r>
        <w:rPr>
          <w:b/>
          <w:bCs/>
        </w:rPr>
        <w:t xml:space="preserve"> </w:t>
      </w:r>
    </w:p>
    <w:p w:rsidR="00736FF7" w:rsidRDefault="00736FF7" w:rsidP="00736FF7">
      <w:pPr>
        <w:pStyle w:val="Default"/>
        <w:jc w:val="center"/>
        <w:rPr>
          <w:b/>
          <w:bCs/>
        </w:rPr>
      </w:pPr>
      <w:r>
        <w:rPr>
          <w:b/>
          <w:bCs/>
        </w:rPr>
        <w:t>(</w:t>
      </w:r>
      <w:proofErr w:type="gramStart"/>
      <w:r w:rsidR="00186A02">
        <w:rPr>
          <w:b/>
          <w:bCs/>
        </w:rPr>
        <w:t>t</w:t>
      </w:r>
      <w:r w:rsidRPr="00736FF7">
        <w:rPr>
          <w:b/>
          <w:bCs/>
        </w:rPr>
        <w:t>ier</w:t>
      </w:r>
      <w:proofErr w:type="gramEnd"/>
      <w:r w:rsidRPr="00736FF7">
        <w:rPr>
          <w:b/>
          <w:bCs/>
        </w:rPr>
        <w:t xml:space="preserve"> 2 </w:t>
      </w:r>
      <w:r w:rsidR="00186A02">
        <w:rPr>
          <w:b/>
          <w:bCs/>
        </w:rPr>
        <w:t>s</w:t>
      </w:r>
      <w:r w:rsidRPr="00736FF7">
        <w:rPr>
          <w:b/>
          <w:bCs/>
        </w:rPr>
        <w:t>ervice</w:t>
      </w:r>
      <w:r>
        <w:rPr>
          <w:b/>
          <w:bCs/>
        </w:rPr>
        <w:t>)</w:t>
      </w:r>
      <w:r w:rsidR="002836D7">
        <w:rPr>
          <w:b/>
          <w:bCs/>
        </w:rPr>
        <w:t xml:space="preserve"> </w:t>
      </w:r>
    </w:p>
    <w:p w:rsidR="004131FB" w:rsidRPr="004131FB" w:rsidRDefault="004131FB" w:rsidP="00736FF7">
      <w:pPr>
        <w:pStyle w:val="Default"/>
        <w:jc w:val="center"/>
        <w:rPr>
          <w:b/>
          <w:bCs/>
          <w:sz w:val="22"/>
        </w:rPr>
      </w:pPr>
    </w:p>
    <w:p w:rsidR="004131FB" w:rsidRPr="004131FB" w:rsidRDefault="004131FB" w:rsidP="004131FB">
      <w:pPr>
        <w:pStyle w:val="NormalWeb"/>
        <w:shd w:val="clear" w:color="auto" w:fill="FFFFFF"/>
        <w:spacing w:before="0" w:beforeAutospacing="0" w:after="0" w:afterAutospacing="0"/>
        <w:textAlignment w:val="baseline"/>
        <w:rPr>
          <w:rFonts w:ascii="Arial" w:hAnsi="Arial" w:cs="Arial"/>
          <w:b/>
          <w:bCs/>
          <w:color w:val="000000"/>
          <w:sz w:val="22"/>
        </w:rPr>
      </w:pPr>
      <w:r w:rsidRPr="004131FB">
        <w:rPr>
          <w:rFonts w:ascii="Arial" w:hAnsi="Arial" w:cs="Arial"/>
          <w:b/>
          <w:bCs/>
          <w:color w:val="000000"/>
          <w:sz w:val="22"/>
        </w:rPr>
        <w:t xml:space="preserve">The programme offers 7 x weekly group sessions with supportive health improvement practitioners. These sessions include evidence based nutritional information, group discussion, hands on activities and resources to take home.  The programme is suitable for those with a body mass index (BMI) </w:t>
      </w:r>
      <w:proofErr w:type="gramStart"/>
      <w:r w:rsidRPr="004131FB">
        <w:rPr>
          <w:rFonts w:ascii="Arial" w:hAnsi="Arial" w:cs="Arial"/>
          <w:b/>
          <w:bCs/>
          <w:color w:val="000000"/>
          <w:sz w:val="22"/>
        </w:rPr>
        <w:t>between 26 - 39.9</w:t>
      </w:r>
      <w:proofErr w:type="gramEnd"/>
      <w:r w:rsidRPr="004131FB">
        <w:rPr>
          <w:rFonts w:ascii="Arial" w:hAnsi="Arial" w:cs="Arial"/>
          <w:b/>
          <w:bCs/>
          <w:color w:val="000000"/>
          <w:sz w:val="22"/>
        </w:rPr>
        <w:t>. Clients attend an initial 1-2-1 appointment with a health improvement practitioner prior to joining the programme.</w:t>
      </w:r>
    </w:p>
    <w:p w:rsidR="00736FF7" w:rsidRDefault="00736FF7" w:rsidP="00736FF7">
      <w:pPr>
        <w:pStyle w:val="Default"/>
        <w:rPr>
          <w:b/>
          <w:bCs/>
          <w:sz w:val="28"/>
          <w:szCs w:val="28"/>
        </w:rPr>
      </w:pPr>
    </w:p>
    <w:p w:rsidR="00736FF7" w:rsidRPr="00BB5242" w:rsidRDefault="00736FF7" w:rsidP="00736FF7">
      <w:pPr>
        <w:rPr>
          <w:rFonts w:ascii="Arial" w:hAnsi="Arial" w:cs="Arial"/>
        </w:rPr>
      </w:pPr>
      <w:r w:rsidRPr="00BB5242">
        <w:rPr>
          <w:rFonts w:ascii="Arial" w:hAnsi="Arial" w:cs="Arial"/>
        </w:rPr>
        <w:t>The following guidance is to help ensure th</w:t>
      </w:r>
      <w:r w:rsidR="00C4206E" w:rsidRPr="00BB5242">
        <w:rPr>
          <w:rFonts w:ascii="Arial" w:hAnsi="Arial" w:cs="Arial"/>
        </w:rPr>
        <w:t>at</w:t>
      </w:r>
      <w:r w:rsidRPr="00BB5242">
        <w:rPr>
          <w:rFonts w:ascii="Arial" w:hAnsi="Arial" w:cs="Arial"/>
        </w:rPr>
        <w:t xml:space="preserve"> clients </w:t>
      </w:r>
      <w:r w:rsidR="00C4206E" w:rsidRPr="00BB5242">
        <w:rPr>
          <w:rFonts w:ascii="Arial" w:hAnsi="Arial" w:cs="Arial"/>
        </w:rPr>
        <w:t>are suitably matched</w:t>
      </w:r>
      <w:r w:rsidRPr="00BB5242">
        <w:rPr>
          <w:rFonts w:ascii="Arial" w:hAnsi="Arial" w:cs="Arial"/>
        </w:rPr>
        <w:t xml:space="preserve"> to the </w:t>
      </w:r>
      <w:proofErr w:type="spellStart"/>
      <w:r w:rsidRPr="00BB5242">
        <w:rPr>
          <w:rFonts w:ascii="Arial" w:hAnsi="Arial" w:cs="Arial"/>
        </w:rPr>
        <w:t>Eatwell</w:t>
      </w:r>
      <w:proofErr w:type="spellEnd"/>
      <w:r w:rsidRPr="00BB5242">
        <w:rPr>
          <w:rFonts w:ascii="Arial" w:hAnsi="Arial" w:cs="Arial"/>
        </w:rPr>
        <w:t xml:space="preserve"> weight management/healthy eating programme. As these are guidelines</w:t>
      </w:r>
      <w:r w:rsidR="00186A02" w:rsidRPr="00BB5242">
        <w:rPr>
          <w:rFonts w:ascii="Arial" w:hAnsi="Arial" w:cs="Arial"/>
        </w:rPr>
        <w:t>,</w:t>
      </w:r>
      <w:r w:rsidRPr="00BB5242">
        <w:rPr>
          <w:rFonts w:ascii="Arial" w:hAnsi="Arial" w:cs="Arial"/>
        </w:rPr>
        <w:t xml:space="preserve"> individual cases may be considered after discussion with relevant</w:t>
      </w:r>
      <w:r w:rsidR="00C4206E" w:rsidRPr="00BB5242">
        <w:rPr>
          <w:rFonts w:ascii="Arial" w:hAnsi="Arial" w:cs="Arial"/>
        </w:rPr>
        <w:t xml:space="preserve"> practition</w:t>
      </w:r>
      <w:bookmarkStart w:id="0" w:name="_GoBack"/>
      <w:bookmarkEnd w:id="0"/>
      <w:r w:rsidR="00C4206E" w:rsidRPr="00BB5242">
        <w:rPr>
          <w:rFonts w:ascii="Arial" w:hAnsi="Arial" w:cs="Arial"/>
        </w:rPr>
        <w:t>ers</w:t>
      </w:r>
      <w:r w:rsidR="00A9244D">
        <w:rPr>
          <w:rFonts w:ascii="Arial" w:hAnsi="Arial" w:cs="Arial"/>
        </w:rPr>
        <w:t>/health professionals</w:t>
      </w:r>
      <w:r w:rsidR="00C4206E" w:rsidRPr="00BB5242">
        <w:rPr>
          <w:rFonts w:ascii="Arial" w:hAnsi="Arial" w:cs="Arial"/>
        </w:rPr>
        <w:t>.</w:t>
      </w:r>
      <w:r w:rsidRPr="00BB5242">
        <w:rPr>
          <w:rFonts w:ascii="Arial" w:hAnsi="Arial" w:cs="Arial"/>
        </w:rPr>
        <w:t xml:space="preserve"> </w:t>
      </w:r>
    </w:p>
    <w:p w:rsidR="00BB5242" w:rsidRPr="00BB5242" w:rsidRDefault="00BB5242" w:rsidP="00736FF7">
      <w:pPr>
        <w:rPr>
          <w:rFonts w:ascii="Arial" w:hAnsi="Arial" w:cs="Arial"/>
        </w:rPr>
      </w:pPr>
    </w:p>
    <w:p w:rsidR="00BB5242" w:rsidRPr="00BB5242" w:rsidRDefault="00BB5242" w:rsidP="00736FF7">
      <w:pPr>
        <w:rPr>
          <w:rFonts w:ascii="Arial" w:hAnsi="Arial" w:cs="Arial"/>
          <w:u w:val="single"/>
        </w:rPr>
      </w:pPr>
      <w:r w:rsidRPr="00BB5242">
        <w:rPr>
          <w:rFonts w:ascii="Arial" w:hAnsi="Arial" w:cs="Arial"/>
          <w:u w:val="single"/>
        </w:rPr>
        <w:t>Eligibility</w:t>
      </w:r>
    </w:p>
    <w:p w:rsidR="00736FF7" w:rsidRPr="00BB5242" w:rsidRDefault="00736FF7" w:rsidP="00736FF7">
      <w:pPr>
        <w:ind w:left="360"/>
        <w:rPr>
          <w:rFonts w:ascii="Arial" w:hAnsi="Arial" w:cs="Arial"/>
        </w:rPr>
      </w:pPr>
    </w:p>
    <w:p w:rsidR="00217E60" w:rsidRDefault="00592EE2" w:rsidP="00BB5242">
      <w:pPr>
        <w:pStyle w:val="ListParagraph"/>
        <w:numPr>
          <w:ilvl w:val="0"/>
          <w:numId w:val="3"/>
        </w:numPr>
        <w:rPr>
          <w:rFonts w:ascii="Arial" w:hAnsi="Arial" w:cs="Arial"/>
        </w:rPr>
      </w:pPr>
      <w:r>
        <w:rPr>
          <w:rFonts w:ascii="Arial" w:hAnsi="Arial" w:cs="Arial"/>
        </w:rPr>
        <w:t>Plymouth based a</w:t>
      </w:r>
      <w:r w:rsidR="00217E60" w:rsidRPr="00BB5242">
        <w:rPr>
          <w:rFonts w:ascii="Arial" w:hAnsi="Arial" w:cs="Arial"/>
        </w:rPr>
        <w:t>dults</w:t>
      </w:r>
      <w:r>
        <w:rPr>
          <w:rFonts w:ascii="Arial" w:hAnsi="Arial" w:cs="Arial"/>
        </w:rPr>
        <w:t xml:space="preserve"> (or registered with a Plymouth GP)</w:t>
      </w:r>
      <w:r w:rsidR="00217E60" w:rsidRPr="00BB5242">
        <w:rPr>
          <w:rFonts w:ascii="Arial" w:hAnsi="Arial" w:cs="Arial"/>
        </w:rPr>
        <w:t xml:space="preserve"> aged 18+</w:t>
      </w:r>
      <w:r w:rsidR="00BB5242" w:rsidRPr="00BB5242">
        <w:rPr>
          <w:rFonts w:ascii="Arial" w:hAnsi="Arial" w:cs="Arial"/>
        </w:rPr>
        <w:t xml:space="preserve"> - </w:t>
      </w:r>
      <w:r>
        <w:rPr>
          <w:rFonts w:ascii="Arial" w:hAnsi="Arial" w:cs="Arial"/>
        </w:rPr>
        <w:t xml:space="preserve">signpost </w:t>
      </w:r>
      <w:r w:rsidR="00BB5242" w:rsidRPr="00BB5242">
        <w:rPr>
          <w:rFonts w:ascii="Arial" w:hAnsi="Arial" w:cs="Arial"/>
        </w:rPr>
        <w:t>under 18’s to speak to their GP re relevant services available. WW and Slimming World do provide some services for under 18’s</w:t>
      </w:r>
      <w:r>
        <w:rPr>
          <w:rFonts w:ascii="Arial" w:hAnsi="Arial" w:cs="Arial"/>
        </w:rPr>
        <w:t>.</w:t>
      </w:r>
      <w:r w:rsidR="00BB5242" w:rsidRPr="00BB5242">
        <w:rPr>
          <w:rFonts w:ascii="Arial" w:hAnsi="Arial" w:cs="Arial"/>
        </w:rPr>
        <w:t xml:space="preserve">  </w:t>
      </w:r>
    </w:p>
    <w:p w:rsidR="00A9244D" w:rsidRDefault="00A9244D" w:rsidP="00A9244D">
      <w:pPr>
        <w:rPr>
          <w:rFonts w:ascii="Arial" w:hAnsi="Arial" w:cs="Arial"/>
        </w:rPr>
      </w:pPr>
    </w:p>
    <w:p w:rsidR="00A9244D" w:rsidRPr="00A9244D" w:rsidRDefault="00A9244D" w:rsidP="00A9244D">
      <w:pPr>
        <w:pStyle w:val="ListParagraph"/>
        <w:numPr>
          <w:ilvl w:val="0"/>
          <w:numId w:val="3"/>
        </w:numPr>
        <w:rPr>
          <w:rFonts w:ascii="Arial" w:hAnsi="Arial" w:cs="Arial"/>
        </w:rPr>
      </w:pPr>
      <w:r w:rsidRPr="00A9244D">
        <w:rPr>
          <w:rFonts w:ascii="Arial" w:hAnsi="Arial" w:cs="Arial"/>
        </w:rPr>
        <w:t>B</w:t>
      </w:r>
      <w:r w:rsidR="00186A02" w:rsidRPr="00A9244D">
        <w:rPr>
          <w:rFonts w:ascii="Arial" w:hAnsi="Arial" w:cs="Arial"/>
        </w:rPr>
        <w:t>MI of  26kg/m</w:t>
      </w:r>
      <w:r w:rsidR="00186A02" w:rsidRPr="00A9244D">
        <w:rPr>
          <w:rFonts w:ascii="Arial" w:hAnsi="Arial" w:cs="Arial"/>
          <w:vertAlign w:val="superscript"/>
        </w:rPr>
        <w:t>2</w:t>
      </w:r>
      <w:r w:rsidR="00186A02" w:rsidRPr="00A9244D">
        <w:rPr>
          <w:rFonts w:ascii="Arial" w:hAnsi="Arial" w:cs="Arial"/>
        </w:rPr>
        <w:t xml:space="preserve"> - 39.9kg/m</w:t>
      </w:r>
      <w:r w:rsidR="00186A02" w:rsidRPr="00A9244D">
        <w:rPr>
          <w:rFonts w:ascii="Arial" w:hAnsi="Arial" w:cs="Arial"/>
          <w:vertAlign w:val="superscript"/>
        </w:rPr>
        <w:t>2</w:t>
      </w:r>
      <w:r w:rsidR="00186A02" w:rsidRPr="00A9244D">
        <w:rPr>
          <w:rFonts w:ascii="Arial" w:hAnsi="Arial" w:cs="Arial"/>
        </w:rPr>
        <w:t>  (BMI  23kg/m</w:t>
      </w:r>
      <w:r w:rsidR="00186A02" w:rsidRPr="00A9244D">
        <w:rPr>
          <w:rFonts w:ascii="Arial" w:hAnsi="Arial" w:cs="Arial"/>
          <w:vertAlign w:val="superscript"/>
        </w:rPr>
        <w:t>2</w:t>
      </w:r>
      <w:r w:rsidR="00186A02" w:rsidRPr="00A9244D">
        <w:rPr>
          <w:rFonts w:ascii="Arial" w:hAnsi="Arial" w:cs="Arial"/>
        </w:rPr>
        <w:t>  - 39.9kg/m</w:t>
      </w:r>
      <w:r w:rsidR="00186A02" w:rsidRPr="00A9244D">
        <w:rPr>
          <w:rFonts w:ascii="Arial" w:hAnsi="Arial" w:cs="Arial"/>
          <w:vertAlign w:val="superscript"/>
        </w:rPr>
        <w:t>2</w:t>
      </w:r>
      <w:r w:rsidR="00186A02" w:rsidRPr="00A9244D">
        <w:rPr>
          <w:rFonts w:ascii="Arial" w:hAnsi="Arial" w:cs="Arial"/>
        </w:rPr>
        <w:t xml:space="preserve"> for Black </w:t>
      </w:r>
      <w:r w:rsidR="00592EE2">
        <w:rPr>
          <w:rFonts w:ascii="Arial" w:hAnsi="Arial" w:cs="Arial"/>
        </w:rPr>
        <w:t>&amp;</w:t>
      </w:r>
      <w:r w:rsidR="00186A02" w:rsidRPr="00A9244D">
        <w:rPr>
          <w:rFonts w:ascii="Arial" w:hAnsi="Arial" w:cs="Arial"/>
        </w:rPr>
        <w:t xml:space="preserve"> Asian ethnic minority)</w:t>
      </w:r>
      <w:r w:rsidRPr="00A9244D">
        <w:rPr>
          <w:rFonts w:ascii="Arial" w:hAnsi="Arial" w:cs="Arial"/>
        </w:rPr>
        <w:t xml:space="preserve"> - t</w:t>
      </w:r>
      <w:r w:rsidR="00186A02" w:rsidRPr="00A9244D">
        <w:rPr>
          <w:rFonts w:ascii="Arial" w:hAnsi="Arial" w:cs="Arial"/>
        </w:rPr>
        <w:t>hose with a BMI over 39.9kg/m</w:t>
      </w:r>
      <w:r w:rsidR="00186A02" w:rsidRPr="00A9244D">
        <w:rPr>
          <w:rFonts w:ascii="Arial" w:hAnsi="Arial" w:cs="Arial"/>
          <w:vertAlign w:val="superscript"/>
        </w:rPr>
        <w:t>2</w:t>
      </w:r>
      <w:r w:rsidR="00186A02" w:rsidRPr="00A9244D">
        <w:rPr>
          <w:rFonts w:ascii="Arial" w:hAnsi="Arial" w:cs="Arial"/>
        </w:rPr>
        <w:t xml:space="preserve"> may be considered after they have been informed about the tier 3 weight management service </w:t>
      </w:r>
      <w:hyperlink r:id="rId8" w:history="1">
        <w:r w:rsidR="00186A02" w:rsidRPr="00A9244D">
          <w:rPr>
            <w:rStyle w:val="Hyperlink"/>
            <w:rFonts w:ascii="Arial" w:hAnsi="Arial" w:cs="Arial"/>
          </w:rPr>
          <w:t>https://www.livewellsouthwest.co.uk/project/weight-management-service</w:t>
        </w:r>
      </w:hyperlink>
      <w:r w:rsidR="00186A02" w:rsidRPr="00A9244D">
        <w:rPr>
          <w:rFonts w:ascii="Arial" w:hAnsi="Arial" w:cs="Arial"/>
        </w:rPr>
        <w:t xml:space="preserve"> but express a preference for the tier 2 programme.</w:t>
      </w:r>
      <w:r w:rsidR="004E11E3" w:rsidRPr="00A9244D">
        <w:rPr>
          <w:rFonts w:ascii="Arial" w:hAnsi="Arial" w:cs="Arial"/>
        </w:rPr>
        <w:t xml:space="preserve"> </w:t>
      </w:r>
    </w:p>
    <w:p w:rsidR="00A9244D" w:rsidRDefault="00A9244D" w:rsidP="00A9244D">
      <w:pPr>
        <w:rPr>
          <w:rFonts w:ascii="Arial" w:hAnsi="Arial" w:cs="Arial"/>
          <w:color w:val="000000" w:themeColor="text1"/>
        </w:rPr>
      </w:pPr>
    </w:p>
    <w:p w:rsidR="00A9244D" w:rsidRPr="00A9244D" w:rsidRDefault="00A9244D" w:rsidP="00A9244D">
      <w:pPr>
        <w:pStyle w:val="ListParagraph"/>
        <w:numPr>
          <w:ilvl w:val="0"/>
          <w:numId w:val="3"/>
        </w:numPr>
        <w:rPr>
          <w:rFonts w:ascii="Arial" w:hAnsi="Arial" w:cs="Arial"/>
          <w:color w:val="000000" w:themeColor="text1"/>
        </w:rPr>
      </w:pPr>
      <w:r w:rsidRPr="00A9244D">
        <w:rPr>
          <w:rFonts w:ascii="Arial" w:hAnsi="Arial" w:cs="Arial"/>
          <w:color w:val="000000" w:themeColor="text1"/>
        </w:rPr>
        <w:t>The course is not suitable for pregnant women - signpost to their midwife/nurse for further advice</w:t>
      </w:r>
      <w:r w:rsidR="00592EE2">
        <w:rPr>
          <w:rFonts w:ascii="Arial" w:hAnsi="Arial" w:cs="Arial"/>
          <w:color w:val="000000" w:themeColor="text1"/>
        </w:rPr>
        <w:t>. T</w:t>
      </w:r>
      <w:r w:rsidRPr="00A9244D">
        <w:rPr>
          <w:rFonts w:ascii="Arial" w:hAnsi="Arial" w:cs="Arial"/>
          <w:color w:val="000000" w:themeColor="text1"/>
        </w:rPr>
        <w:t xml:space="preserve">he client may wish to attend one of </w:t>
      </w:r>
      <w:r>
        <w:rPr>
          <w:rFonts w:ascii="Arial" w:hAnsi="Arial" w:cs="Arial"/>
          <w:color w:val="000000" w:themeColor="text1"/>
        </w:rPr>
        <w:t>our free</w:t>
      </w:r>
      <w:r w:rsidRPr="00A9244D">
        <w:rPr>
          <w:rFonts w:ascii="Arial" w:hAnsi="Arial" w:cs="Arial"/>
          <w:color w:val="000000" w:themeColor="text1"/>
        </w:rPr>
        <w:t xml:space="preserve"> Healthy Eating 2 hour workshops. </w:t>
      </w:r>
      <w:hyperlink r:id="rId9" w:history="1">
        <w:r w:rsidRPr="00A9244D">
          <w:rPr>
            <w:rStyle w:val="Hyperlink"/>
            <w:rFonts w:ascii="Arial" w:hAnsi="Arial" w:cs="Arial"/>
          </w:rPr>
          <w:t>https://www.livewellswacademy.co.uk/courses/74/healthy_eating_workshop/731</w:t>
        </w:r>
      </w:hyperlink>
    </w:p>
    <w:p w:rsidR="00C4206E" w:rsidRPr="00A9244D" w:rsidRDefault="00C4206E" w:rsidP="00C4206E">
      <w:pPr>
        <w:rPr>
          <w:rFonts w:ascii="Arial" w:hAnsi="Arial" w:cs="Arial"/>
        </w:rPr>
      </w:pPr>
    </w:p>
    <w:p w:rsidR="00736FF7" w:rsidRPr="00BB5242" w:rsidRDefault="00217E60" w:rsidP="00BB5242">
      <w:pPr>
        <w:rPr>
          <w:rFonts w:ascii="Arial" w:hAnsi="Arial" w:cs="Arial"/>
          <w:u w:val="single"/>
        </w:rPr>
      </w:pPr>
      <w:r w:rsidRPr="00BB5242">
        <w:rPr>
          <w:rFonts w:ascii="Arial" w:hAnsi="Arial" w:cs="Arial"/>
          <w:u w:val="single"/>
        </w:rPr>
        <w:t>Guidelines for</w:t>
      </w:r>
      <w:r w:rsidR="00C4206E" w:rsidRPr="00BB5242">
        <w:rPr>
          <w:rFonts w:ascii="Arial" w:hAnsi="Arial" w:cs="Arial"/>
          <w:u w:val="single"/>
        </w:rPr>
        <w:t xml:space="preserve"> client</w:t>
      </w:r>
      <w:r w:rsidRPr="00BB5242">
        <w:rPr>
          <w:rFonts w:ascii="Arial" w:hAnsi="Arial" w:cs="Arial"/>
          <w:u w:val="single"/>
        </w:rPr>
        <w:t>s</w:t>
      </w:r>
      <w:r w:rsidR="00C4206E" w:rsidRPr="00BB5242">
        <w:rPr>
          <w:rFonts w:ascii="Arial" w:hAnsi="Arial" w:cs="Arial"/>
          <w:u w:val="single"/>
        </w:rPr>
        <w:t xml:space="preserve"> </w:t>
      </w:r>
      <w:r w:rsidR="004842C1" w:rsidRPr="00BB5242">
        <w:rPr>
          <w:rFonts w:ascii="Arial" w:hAnsi="Arial" w:cs="Arial"/>
          <w:u w:val="single"/>
        </w:rPr>
        <w:t xml:space="preserve">living </w:t>
      </w:r>
      <w:r w:rsidRPr="00BB5242">
        <w:rPr>
          <w:rFonts w:ascii="Arial" w:hAnsi="Arial" w:cs="Arial"/>
          <w:u w:val="single"/>
        </w:rPr>
        <w:t>with</w:t>
      </w:r>
      <w:r w:rsidR="00C4206E" w:rsidRPr="00BB5242">
        <w:rPr>
          <w:rFonts w:ascii="Arial" w:hAnsi="Arial" w:cs="Arial"/>
          <w:u w:val="single"/>
        </w:rPr>
        <w:t xml:space="preserve"> </w:t>
      </w:r>
      <w:r w:rsidRPr="00BB5242">
        <w:rPr>
          <w:rFonts w:ascii="Arial" w:hAnsi="Arial" w:cs="Arial"/>
          <w:u w:val="single"/>
        </w:rPr>
        <w:t xml:space="preserve">any of </w:t>
      </w:r>
      <w:r w:rsidR="00C4206E" w:rsidRPr="00BB5242">
        <w:rPr>
          <w:rFonts w:ascii="Arial" w:hAnsi="Arial" w:cs="Arial"/>
          <w:u w:val="single"/>
        </w:rPr>
        <w:t>the</w:t>
      </w:r>
      <w:r w:rsidRPr="00BB5242">
        <w:rPr>
          <w:rFonts w:ascii="Arial" w:hAnsi="Arial" w:cs="Arial"/>
          <w:u w:val="single"/>
        </w:rPr>
        <w:t xml:space="preserve"> </w:t>
      </w:r>
      <w:r w:rsidR="00C4206E" w:rsidRPr="00BB5242">
        <w:rPr>
          <w:rFonts w:ascii="Arial" w:hAnsi="Arial" w:cs="Arial"/>
          <w:u w:val="single"/>
        </w:rPr>
        <w:t xml:space="preserve">following </w:t>
      </w:r>
      <w:r w:rsidRPr="00BB5242">
        <w:rPr>
          <w:rFonts w:ascii="Arial" w:hAnsi="Arial" w:cs="Arial"/>
          <w:u w:val="single"/>
        </w:rPr>
        <w:t>conditions</w:t>
      </w:r>
    </w:p>
    <w:p w:rsidR="00BB5242" w:rsidRPr="00BB5242" w:rsidRDefault="00BB5242" w:rsidP="00BB5242">
      <w:pPr>
        <w:rPr>
          <w:rFonts w:ascii="Arial" w:hAnsi="Arial" w:cs="Arial"/>
          <w:u w:val="single"/>
        </w:rPr>
      </w:pPr>
    </w:p>
    <w:p w:rsidR="00217E60" w:rsidRPr="00BB5242" w:rsidRDefault="00736FF7" w:rsidP="00BB5242">
      <w:pPr>
        <w:pStyle w:val="Default"/>
        <w:numPr>
          <w:ilvl w:val="0"/>
          <w:numId w:val="7"/>
        </w:numPr>
        <w:rPr>
          <w:sz w:val="22"/>
          <w:szCs w:val="22"/>
        </w:rPr>
      </w:pPr>
      <w:r w:rsidRPr="00BB5242">
        <w:rPr>
          <w:sz w:val="22"/>
          <w:szCs w:val="22"/>
        </w:rPr>
        <w:t>Type 2 diabetes</w:t>
      </w:r>
      <w:r w:rsidR="00217E60" w:rsidRPr="00BB5242">
        <w:rPr>
          <w:sz w:val="22"/>
          <w:szCs w:val="22"/>
        </w:rPr>
        <w:t xml:space="preserve"> mellitus</w:t>
      </w:r>
      <w:r w:rsidRPr="00BB5242">
        <w:rPr>
          <w:sz w:val="22"/>
          <w:szCs w:val="22"/>
        </w:rPr>
        <w:t xml:space="preserve"> </w:t>
      </w:r>
      <w:r w:rsidR="00217E60" w:rsidRPr="00BB5242">
        <w:rPr>
          <w:sz w:val="22"/>
          <w:szCs w:val="22"/>
        </w:rPr>
        <w:t>–</w:t>
      </w:r>
      <w:r w:rsidRPr="00BB5242">
        <w:rPr>
          <w:sz w:val="22"/>
          <w:szCs w:val="22"/>
        </w:rPr>
        <w:t xml:space="preserve"> </w:t>
      </w:r>
      <w:r w:rsidR="00217E60" w:rsidRPr="00BB5242">
        <w:rPr>
          <w:sz w:val="22"/>
          <w:szCs w:val="22"/>
        </w:rPr>
        <w:t>must be w</w:t>
      </w:r>
      <w:r w:rsidRPr="00BB5242">
        <w:rPr>
          <w:sz w:val="22"/>
          <w:szCs w:val="22"/>
        </w:rPr>
        <w:t>ell controlled with no recent episodes of hyperglycaemia.</w:t>
      </w:r>
      <w:r w:rsidR="00217E60" w:rsidRPr="00BB5242">
        <w:rPr>
          <w:sz w:val="22"/>
          <w:szCs w:val="22"/>
        </w:rPr>
        <w:t xml:space="preserve">  </w:t>
      </w:r>
    </w:p>
    <w:p w:rsidR="00217E60" w:rsidRPr="00BB5242" w:rsidRDefault="00217E60" w:rsidP="00BB5242">
      <w:pPr>
        <w:pStyle w:val="Default"/>
        <w:numPr>
          <w:ilvl w:val="0"/>
          <w:numId w:val="7"/>
        </w:numPr>
        <w:rPr>
          <w:sz w:val="22"/>
          <w:szCs w:val="22"/>
        </w:rPr>
      </w:pPr>
      <w:r w:rsidRPr="00BB5242">
        <w:rPr>
          <w:sz w:val="22"/>
          <w:szCs w:val="22"/>
        </w:rPr>
        <w:t>Type 1 diabetes mellitus –</w:t>
      </w:r>
      <w:r w:rsidR="00BB5242">
        <w:rPr>
          <w:sz w:val="22"/>
          <w:szCs w:val="22"/>
        </w:rPr>
        <w:t xml:space="preserve"> </w:t>
      </w:r>
      <w:r w:rsidRPr="00BB5242">
        <w:rPr>
          <w:sz w:val="22"/>
          <w:szCs w:val="22"/>
        </w:rPr>
        <w:t xml:space="preserve">diabetes is well controlled and managed and they have regular monitoring </w:t>
      </w:r>
      <w:r w:rsidR="00592EE2">
        <w:rPr>
          <w:sz w:val="22"/>
          <w:szCs w:val="22"/>
        </w:rPr>
        <w:t>via</w:t>
      </w:r>
      <w:r w:rsidRPr="00BB5242">
        <w:rPr>
          <w:sz w:val="22"/>
          <w:szCs w:val="22"/>
        </w:rPr>
        <w:t xml:space="preserve"> their diabetes nurse/GP </w:t>
      </w:r>
    </w:p>
    <w:p w:rsidR="002836D7" w:rsidRPr="004A047B" w:rsidRDefault="00736FF7" w:rsidP="00BB5242">
      <w:pPr>
        <w:pStyle w:val="Default"/>
        <w:numPr>
          <w:ilvl w:val="0"/>
          <w:numId w:val="7"/>
        </w:numPr>
        <w:rPr>
          <w:sz w:val="22"/>
          <w:szCs w:val="22"/>
        </w:rPr>
      </w:pPr>
      <w:r w:rsidRPr="00BB5242">
        <w:rPr>
          <w:sz w:val="22"/>
          <w:szCs w:val="22"/>
        </w:rPr>
        <w:t>Cardiovascular disease</w:t>
      </w:r>
      <w:r w:rsidR="002836D7" w:rsidRPr="00BB5242">
        <w:rPr>
          <w:sz w:val="22"/>
          <w:szCs w:val="22"/>
        </w:rPr>
        <w:t xml:space="preserve"> </w:t>
      </w:r>
      <w:r w:rsidRPr="00BB5242">
        <w:rPr>
          <w:sz w:val="22"/>
          <w:szCs w:val="22"/>
        </w:rPr>
        <w:t>-</w:t>
      </w:r>
      <w:r w:rsidR="002836D7" w:rsidRPr="00BB5242">
        <w:rPr>
          <w:sz w:val="22"/>
          <w:szCs w:val="22"/>
        </w:rPr>
        <w:t xml:space="preserve"> no recent myocardial infarction or any other acute cardiac event </w:t>
      </w:r>
      <w:r w:rsidR="004E11E3" w:rsidRPr="00BB5242">
        <w:rPr>
          <w:sz w:val="22"/>
          <w:szCs w:val="22"/>
        </w:rPr>
        <w:t>and the</w:t>
      </w:r>
      <w:r w:rsidR="002836D7" w:rsidRPr="00BB5242">
        <w:rPr>
          <w:sz w:val="22"/>
          <w:szCs w:val="22"/>
        </w:rPr>
        <w:t xml:space="preserve"> </w:t>
      </w:r>
      <w:r w:rsidR="00217E60" w:rsidRPr="00BB5242">
        <w:rPr>
          <w:sz w:val="22"/>
          <w:szCs w:val="22"/>
        </w:rPr>
        <w:t>client ha</w:t>
      </w:r>
      <w:r w:rsidR="002836D7" w:rsidRPr="00BB5242">
        <w:rPr>
          <w:sz w:val="22"/>
          <w:szCs w:val="22"/>
        </w:rPr>
        <w:t>s</w:t>
      </w:r>
      <w:r w:rsidR="00217E60" w:rsidRPr="00BB5242">
        <w:rPr>
          <w:sz w:val="22"/>
          <w:szCs w:val="22"/>
        </w:rPr>
        <w:t xml:space="preserve"> completed</w:t>
      </w:r>
      <w:r w:rsidR="00592EE2">
        <w:rPr>
          <w:sz w:val="22"/>
          <w:szCs w:val="22"/>
        </w:rPr>
        <w:t>/</w:t>
      </w:r>
      <w:r w:rsidR="004A047B">
        <w:rPr>
          <w:sz w:val="22"/>
          <w:szCs w:val="22"/>
        </w:rPr>
        <w:t>is near completion of</w:t>
      </w:r>
      <w:r w:rsidR="00217E60" w:rsidRPr="00BB5242">
        <w:rPr>
          <w:sz w:val="22"/>
          <w:szCs w:val="22"/>
        </w:rPr>
        <w:t xml:space="preserve"> </w:t>
      </w:r>
      <w:r w:rsidR="004A047B">
        <w:rPr>
          <w:sz w:val="22"/>
          <w:szCs w:val="22"/>
        </w:rPr>
        <w:t>phase 3</w:t>
      </w:r>
      <w:r w:rsidR="00217E60" w:rsidRPr="00BB5242">
        <w:rPr>
          <w:sz w:val="22"/>
          <w:szCs w:val="22"/>
        </w:rPr>
        <w:t xml:space="preserve"> of</w:t>
      </w:r>
      <w:r w:rsidR="004E11E3" w:rsidRPr="00BB5242">
        <w:rPr>
          <w:sz w:val="22"/>
          <w:szCs w:val="22"/>
        </w:rPr>
        <w:t xml:space="preserve"> their</w:t>
      </w:r>
      <w:r w:rsidR="00217E60" w:rsidRPr="00BB5242">
        <w:rPr>
          <w:sz w:val="22"/>
          <w:szCs w:val="22"/>
        </w:rPr>
        <w:t xml:space="preserve"> cardiac rehabilitation </w:t>
      </w:r>
      <w:hyperlink r:id="rId10" w:history="1">
        <w:r w:rsidR="004A047B" w:rsidRPr="004A047B">
          <w:rPr>
            <w:rStyle w:val="Hyperlink"/>
            <w:sz w:val="22"/>
            <w:szCs w:val="22"/>
          </w:rPr>
          <w:t>https://www.heartstogether.org.uk/cardiac-rehabilitation</w:t>
        </w:r>
      </w:hyperlink>
    </w:p>
    <w:p w:rsidR="00736FF7" w:rsidRPr="00BB5242" w:rsidRDefault="00736FF7" w:rsidP="00BB5242">
      <w:pPr>
        <w:pStyle w:val="Default"/>
        <w:numPr>
          <w:ilvl w:val="0"/>
          <w:numId w:val="7"/>
        </w:numPr>
        <w:rPr>
          <w:sz w:val="22"/>
          <w:szCs w:val="22"/>
        </w:rPr>
      </w:pPr>
      <w:r w:rsidRPr="00BB5242">
        <w:rPr>
          <w:sz w:val="22"/>
          <w:szCs w:val="22"/>
        </w:rPr>
        <w:t>Muscul</w:t>
      </w:r>
      <w:r w:rsidR="004E11E3" w:rsidRPr="00BB5242">
        <w:rPr>
          <w:sz w:val="22"/>
          <w:szCs w:val="22"/>
        </w:rPr>
        <w:t>o</w:t>
      </w:r>
      <w:r w:rsidRPr="00BB5242">
        <w:rPr>
          <w:sz w:val="22"/>
          <w:szCs w:val="22"/>
        </w:rPr>
        <w:t xml:space="preserve">skeletal conditions </w:t>
      </w:r>
      <w:proofErr w:type="spellStart"/>
      <w:r w:rsidRPr="00BB5242">
        <w:rPr>
          <w:sz w:val="22"/>
          <w:szCs w:val="22"/>
        </w:rPr>
        <w:t>eg</w:t>
      </w:r>
      <w:proofErr w:type="spellEnd"/>
      <w:r w:rsidRPr="00BB5242">
        <w:rPr>
          <w:sz w:val="22"/>
          <w:szCs w:val="22"/>
        </w:rPr>
        <w:t xml:space="preserve">. </w:t>
      </w:r>
      <w:proofErr w:type="gramStart"/>
      <w:r w:rsidRPr="00BB5242">
        <w:rPr>
          <w:sz w:val="22"/>
          <w:szCs w:val="22"/>
        </w:rPr>
        <w:t>osteoarthritis/</w:t>
      </w:r>
      <w:proofErr w:type="gramEnd"/>
      <w:r w:rsidRPr="00BB5242">
        <w:rPr>
          <w:sz w:val="22"/>
          <w:szCs w:val="22"/>
        </w:rPr>
        <w:t xml:space="preserve">rheumatoid arthritis/osteoporosis - client is confident that they could </w:t>
      </w:r>
      <w:r w:rsidR="002836D7" w:rsidRPr="00BB5242">
        <w:rPr>
          <w:sz w:val="22"/>
          <w:szCs w:val="22"/>
        </w:rPr>
        <w:t>undertake some form of physical activity</w:t>
      </w:r>
      <w:r w:rsidR="004A047B">
        <w:rPr>
          <w:sz w:val="22"/>
          <w:szCs w:val="22"/>
        </w:rPr>
        <w:t xml:space="preserve"> (can be chair based)</w:t>
      </w:r>
      <w:r w:rsidR="002836D7" w:rsidRPr="00BB5242">
        <w:rPr>
          <w:sz w:val="22"/>
          <w:szCs w:val="22"/>
        </w:rPr>
        <w:t>.</w:t>
      </w:r>
    </w:p>
    <w:p w:rsidR="004842C1" w:rsidRPr="00BB5242" w:rsidRDefault="002836D7" w:rsidP="00BB5242">
      <w:pPr>
        <w:pStyle w:val="Default"/>
        <w:numPr>
          <w:ilvl w:val="0"/>
          <w:numId w:val="7"/>
        </w:numPr>
        <w:adjustRightInd w:val="0"/>
        <w:rPr>
          <w:iCs/>
          <w:sz w:val="22"/>
          <w:szCs w:val="22"/>
        </w:rPr>
      </w:pPr>
      <w:r w:rsidRPr="00BB5242">
        <w:rPr>
          <w:sz w:val="22"/>
          <w:szCs w:val="22"/>
        </w:rPr>
        <w:t xml:space="preserve">Gastro conditions </w:t>
      </w:r>
      <w:proofErr w:type="spellStart"/>
      <w:r w:rsidRPr="00BB5242">
        <w:rPr>
          <w:sz w:val="22"/>
          <w:szCs w:val="22"/>
        </w:rPr>
        <w:t>eg</w:t>
      </w:r>
      <w:proofErr w:type="spellEnd"/>
      <w:r w:rsidRPr="00BB5242">
        <w:rPr>
          <w:sz w:val="22"/>
          <w:szCs w:val="22"/>
        </w:rPr>
        <w:t xml:space="preserve">. </w:t>
      </w:r>
      <w:r w:rsidR="004E11E3" w:rsidRPr="00BB5242">
        <w:rPr>
          <w:sz w:val="22"/>
          <w:szCs w:val="22"/>
        </w:rPr>
        <w:t>Coeliac</w:t>
      </w:r>
      <w:r w:rsidRPr="00BB5242">
        <w:rPr>
          <w:sz w:val="22"/>
          <w:szCs w:val="22"/>
        </w:rPr>
        <w:t xml:space="preserve"> disease, </w:t>
      </w:r>
      <w:proofErr w:type="spellStart"/>
      <w:r w:rsidRPr="00BB5242">
        <w:rPr>
          <w:sz w:val="22"/>
          <w:szCs w:val="22"/>
        </w:rPr>
        <w:t>Crohns</w:t>
      </w:r>
      <w:proofErr w:type="spellEnd"/>
      <w:r w:rsidRPr="00BB5242">
        <w:rPr>
          <w:sz w:val="22"/>
          <w:szCs w:val="22"/>
        </w:rPr>
        <w:t xml:space="preserve"> disease, those who have had stoma surgery – condition is well managed and client has received dietary advice from their consultant, GP, nurse or dietitian.</w:t>
      </w:r>
    </w:p>
    <w:p w:rsidR="004842C1" w:rsidRPr="00BB5242" w:rsidRDefault="004842C1" w:rsidP="00BB5242">
      <w:pPr>
        <w:pStyle w:val="Default"/>
        <w:numPr>
          <w:ilvl w:val="0"/>
          <w:numId w:val="7"/>
        </w:numPr>
        <w:adjustRightInd w:val="0"/>
        <w:rPr>
          <w:iCs/>
          <w:sz w:val="22"/>
          <w:szCs w:val="22"/>
        </w:rPr>
      </w:pPr>
      <w:r w:rsidRPr="00BB5242">
        <w:rPr>
          <w:sz w:val="22"/>
          <w:szCs w:val="22"/>
        </w:rPr>
        <w:t>Previous bariatric surgery (NHS) – refer back to tier 3 for support</w:t>
      </w:r>
    </w:p>
    <w:p w:rsidR="004E11E3" w:rsidRPr="00BB5242" w:rsidRDefault="004E11E3" w:rsidP="00BB5242">
      <w:pPr>
        <w:pStyle w:val="Default"/>
        <w:numPr>
          <w:ilvl w:val="0"/>
          <w:numId w:val="7"/>
        </w:numPr>
        <w:adjustRightInd w:val="0"/>
        <w:rPr>
          <w:iCs/>
          <w:sz w:val="22"/>
          <w:szCs w:val="22"/>
        </w:rPr>
      </w:pPr>
      <w:r w:rsidRPr="00BB5242">
        <w:rPr>
          <w:sz w:val="22"/>
          <w:szCs w:val="22"/>
        </w:rPr>
        <w:t xml:space="preserve">Chronic Kidney Disease stage 4 onwards – refer client to their GP/consultant for dietetic support </w:t>
      </w:r>
    </w:p>
    <w:p w:rsidR="002836D7" w:rsidRPr="00BB5242" w:rsidRDefault="002836D7" w:rsidP="00BB5242">
      <w:pPr>
        <w:pStyle w:val="Default"/>
        <w:numPr>
          <w:ilvl w:val="0"/>
          <w:numId w:val="7"/>
        </w:numPr>
        <w:rPr>
          <w:sz w:val="22"/>
          <w:szCs w:val="22"/>
        </w:rPr>
      </w:pPr>
      <w:r w:rsidRPr="00BB5242">
        <w:rPr>
          <w:sz w:val="22"/>
          <w:szCs w:val="22"/>
        </w:rPr>
        <w:t>Mental health disorders</w:t>
      </w:r>
      <w:r w:rsidR="004842C1" w:rsidRPr="00BB5242">
        <w:rPr>
          <w:sz w:val="22"/>
          <w:szCs w:val="22"/>
        </w:rPr>
        <w:t xml:space="preserve"> (including autism)</w:t>
      </w:r>
      <w:r w:rsidRPr="00BB5242">
        <w:rPr>
          <w:sz w:val="22"/>
          <w:szCs w:val="22"/>
        </w:rPr>
        <w:t xml:space="preserve"> – </w:t>
      </w:r>
      <w:r w:rsidR="004842C1" w:rsidRPr="00BB5242">
        <w:rPr>
          <w:sz w:val="22"/>
          <w:szCs w:val="22"/>
        </w:rPr>
        <w:t>client considers they can cope in a group setting (this can include attending with a support worker if appropriate)</w:t>
      </w:r>
    </w:p>
    <w:p w:rsidR="001F4C13" w:rsidRPr="00BB5242" w:rsidRDefault="00186A02" w:rsidP="00BB5242">
      <w:pPr>
        <w:pStyle w:val="Default"/>
        <w:numPr>
          <w:ilvl w:val="0"/>
          <w:numId w:val="7"/>
        </w:numPr>
        <w:rPr>
          <w:sz w:val="22"/>
          <w:szCs w:val="22"/>
        </w:rPr>
      </w:pPr>
      <w:r w:rsidRPr="00BB5242">
        <w:rPr>
          <w:sz w:val="22"/>
          <w:szCs w:val="22"/>
        </w:rPr>
        <w:t xml:space="preserve">Eating disorder – if a client reveals a current eating disorder please signpost to relevant services </w:t>
      </w:r>
      <w:hyperlink r:id="rId11" w:history="1">
        <w:r w:rsidR="001F4C13" w:rsidRPr="00BB5242">
          <w:rPr>
            <w:rStyle w:val="Hyperlink"/>
            <w:sz w:val="22"/>
            <w:szCs w:val="22"/>
          </w:rPr>
          <w:t>http://www.eatingdisorderserviceplymouth.co.uk/</w:t>
        </w:r>
      </w:hyperlink>
      <w:r w:rsidR="001F4C13" w:rsidRPr="00BB5242">
        <w:rPr>
          <w:sz w:val="22"/>
          <w:szCs w:val="22"/>
        </w:rPr>
        <w:t xml:space="preserve"> </w:t>
      </w:r>
      <w:hyperlink r:id="rId12" w:history="1">
        <w:r w:rsidR="001F4C13" w:rsidRPr="00BB5242">
          <w:rPr>
            <w:rStyle w:val="Hyperlink"/>
            <w:sz w:val="22"/>
            <w:szCs w:val="22"/>
          </w:rPr>
          <w:t>https://www.beateatingdisorders.org.uk/support-services/online-groups</w:t>
        </w:r>
      </w:hyperlink>
    </w:p>
    <w:p w:rsidR="002836D7" w:rsidRPr="00BB5242" w:rsidRDefault="002836D7" w:rsidP="00BB5242">
      <w:pPr>
        <w:pStyle w:val="Default"/>
        <w:numPr>
          <w:ilvl w:val="0"/>
          <w:numId w:val="7"/>
        </w:numPr>
        <w:rPr>
          <w:sz w:val="22"/>
          <w:szCs w:val="22"/>
        </w:rPr>
      </w:pPr>
      <w:r w:rsidRPr="00BB5242">
        <w:rPr>
          <w:sz w:val="22"/>
          <w:szCs w:val="22"/>
        </w:rPr>
        <w:t>Learning disabilities</w:t>
      </w:r>
      <w:r w:rsidR="00592EE2">
        <w:rPr>
          <w:sz w:val="22"/>
          <w:szCs w:val="22"/>
        </w:rPr>
        <w:t xml:space="preserve"> </w:t>
      </w:r>
      <w:r w:rsidRPr="00BB5242">
        <w:rPr>
          <w:sz w:val="22"/>
          <w:szCs w:val="22"/>
        </w:rPr>
        <w:t>–</w:t>
      </w:r>
      <w:r w:rsidR="004842C1" w:rsidRPr="00BB5242">
        <w:rPr>
          <w:sz w:val="22"/>
          <w:szCs w:val="22"/>
        </w:rPr>
        <w:t xml:space="preserve"> </w:t>
      </w:r>
      <w:r w:rsidRPr="00BB5242">
        <w:rPr>
          <w:sz w:val="22"/>
          <w:szCs w:val="22"/>
        </w:rPr>
        <w:t xml:space="preserve">client feels they are able to cope </w:t>
      </w:r>
      <w:r w:rsidR="004842C1" w:rsidRPr="00BB5242">
        <w:rPr>
          <w:sz w:val="22"/>
          <w:szCs w:val="22"/>
        </w:rPr>
        <w:t>o</w:t>
      </w:r>
      <w:r w:rsidRPr="00BB5242">
        <w:rPr>
          <w:sz w:val="22"/>
          <w:szCs w:val="22"/>
        </w:rPr>
        <w:t>n a mainstream course (</w:t>
      </w:r>
      <w:r w:rsidR="004842C1" w:rsidRPr="00BB5242">
        <w:rPr>
          <w:sz w:val="22"/>
          <w:szCs w:val="22"/>
        </w:rPr>
        <w:t>this can include attending</w:t>
      </w:r>
      <w:r w:rsidRPr="00BB5242">
        <w:rPr>
          <w:sz w:val="22"/>
          <w:szCs w:val="22"/>
        </w:rPr>
        <w:t xml:space="preserve"> with</w:t>
      </w:r>
      <w:r w:rsidR="004842C1" w:rsidRPr="00BB5242">
        <w:rPr>
          <w:sz w:val="22"/>
          <w:szCs w:val="22"/>
        </w:rPr>
        <w:t xml:space="preserve"> a</w:t>
      </w:r>
      <w:r w:rsidRPr="00BB5242">
        <w:rPr>
          <w:sz w:val="22"/>
          <w:szCs w:val="22"/>
        </w:rPr>
        <w:t xml:space="preserve"> care/support worker</w:t>
      </w:r>
      <w:r w:rsidR="004842C1" w:rsidRPr="00BB5242">
        <w:rPr>
          <w:sz w:val="22"/>
          <w:szCs w:val="22"/>
        </w:rPr>
        <w:t xml:space="preserve"> if appropriate</w:t>
      </w:r>
      <w:r w:rsidRPr="00BB5242">
        <w:rPr>
          <w:sz w:val="22"/>
          <w:szCs w:val="22"/>
        </w:rPr>
        <w:t>)</w:t>
      </w:r>
      <w:r w:rsidR="004842C1" w:rsidRPr="00BB5242">
        <w:rPr>
          <w:sz w:val="22"/>
          <w:szCs w:val="22"/>
        </w:rPr>
        <w:t>. If not,</w:t>
      </w:r>
      <w:r w:rsidRPr="00BB5242">
        <w:rPr>
          <w:sz w:val="22"/>
          <w:szCs w:val="22"/>
        </w:rPr>
        <w:t xml:space="preserve"> please refer to Improving Lives Plymouth</w:t>
      </w:r>
      <w:r w:rsidR="004842C1" w:rsidRPr="00BB5242">
        <w:rPr>
          <w:sz w:val="22"/>
          <w:szCs w:val="22"/>
        </w:rPr>
        <w:t xml:space="preserve"> ‘Healthy Living Club’</w:t>
      </w:r>
      <w:r w:rsidRPr="00BB5242">
        <w:rPr>
          <w:sz w:val="22"/>
          <w:szCs w:val="22"/>
        </w:rPr>
        <w:t xml:space="preserve"> </w:t>
      </w:r>
      <w:hyperlink r:id="rId13" w:history="1">
        <w:r w:rsidR="004842C1" w:rsidRPr="00BB5242">
          <w:rPr>
            <w:rStyle w:val="Hyperlink"/>
            <w:sz w:val="22"/>
            <w:szCs w:val="22"/>
          </w:rPr>
          <w:t>https://www.improvinglivesplymouth.org.uk/our-services/better-futures-learning-disability-support-advice/better-futures-what-we-provide</w:t>
        </w:r>
      </w:hyperlink>
    </w:p>
    <w:p w:rsidR="002836D7" w:rsidRPr="00592EE2" w:rsidRDefault="00186A02" w:rsidP="00BB5242">
      <w:pPr>
        <w:pStyle w:val="Default"/>
        <w:numPr>
          <w:ilvl w:val="0"/>
          <w:numId w:val="7"/>
        </w:numPr>
      </w:pPr>
      <w:r w:rsidRPr="00BB5242">
        <w:rPr>
          <w:sz w:val="22"/>
          <w:szCs w:val="22"/>
        </w:rPr>
        <w:t>Other conditions to be considered on a case by case basis</w:t>
      </w:r>
    </w:p>
    <w:sectPr w:rsidR="002836D7" w:rsidRPr="00592EE2" w:rsidSect="004131FB">
      <w:footerReference w:type="default" r:id="rId14"/>
      <w:pgSz w:w="11906" w:h="16838"/>
      <w:pgMar w:top="284" w:right="1440" w:bottom="284"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C1" w:rsidRDefault="004842C1" w:rsidP="004842C1">
      <w:r>
        <w:separator/>
      </w:r>
    </w:p>
  </w:endnote>
  <w:endnote w:type="continuationSeparator" w:id="0">
    <w:p w:rsidR="004842C1" w:rsidRDefault="004842C1" w:rsidP="0048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1" w:rsidRDefault="004842C1">
    <w:pPr>
      <w:pStyle w:val="Footer"/>
    </w:pPr>
    <w:r>
      <w:t xml:space="preserve">Rachel </w:t>
    </w:r>
    <w:proofErr w:type="spellStart"/>
    <w:r>
      <w:t>Efemey</w:t>
    </w:r>
    <w:proofErr w:type="spellEnd"/>
    <w:r>
      <w:t xml:space="preserve"> (Advanced Health Improvement Practitioner) </w:t>
    </w:r>
    <w:proofErr w:type="gramStart"/>
    <w:r>
      <w:t xml:space="preserve">-  </w:t>
    </w:r>
    <w:r w:rsidR="00592EE2">
      <w:t>Nov</w:t>
    </w:r>
    <w:proofErr w:type="gramEnd"/>
    <w:r w:rsidR="00592EE2">
      <w:t xml:space="preserve"> </w:t>
    </w:r>
    <w:r>
      <w:t>2019</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C1" w:rsidRDefault="004842C1" w:rsidP="004842C1">
      <w:r>
        <w:separator/>
      </w:r>
    </w:p>
  </w:footnote>
  <w:footnote w:type="continuationSeparator" w:id="0">
    <w:p w:rsidR="004842C1" w:rsidRDefault="004842C1" w:rsidP="0048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3D"/>
    <w:multiLevelType w:val="hybridMultilevel"/>
    <w:tmpl w:val="EF7E7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AB6FD6"/>
    <w:multiLevelType w:val="hybridMultilevel"/>
    <w:tmpl w:val="386A9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3441F2"/>
    <w:multiLevelType w:val="hybridMultilevel"/>
    <w:tmpl w:val="35D45162"/>
    <w:lvl w:ilvl="0" w:tplc="2DE8A9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E28FE"/>
    <w:multiLevelType w:val="hybridMultilevel"/>
    <w:tmpl w:val="1CFA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FC36C7"/>
    <w:multiLevelType w:val="hybridMultilevel"/>
    <w:tmpl w:val="7AE4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73F4A"/>
    <w:multiLevelType w:val="hybridMultilevel"/>
    <w:tmpl w:val="7644757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D21D29"/>
    <w:multiLevelType w:val="hybridMultilevel"/>
    <w:tmpl w:val="DAE8BA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446AB"/>
    <w:multiLevelType w:val="hybridMultilevel"/>
    <w:tmpl w:val="8852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5E3F1E"/>
    <w:multiLevelType w:val="hybridMultilevel"/>
    <w:tmpl w:val="5D2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F7"/>
    <w:rsid w:val="00186A02"/>
    <w:rsid w:val="001F4C13"/>
    <w:rsid w:val="00217E60"/>
    <w:rsid w:val="00273CAF"/>
    <w:rsid w:val="002836D7"/>
    <w:rsid w:val="004131FB"/>
    <w:rsid w:val="004842C1"/>
    <w:rsid w:val="004A047B"/>
    <w:rsid w:val="004E11E3"/>
    <w:rsid w:val="00592EE2"/>
    <w:rsid w:val="00736FF7"/>
    <w:rsid w:val="00894144"/>
    <w:rsid w:val="00A9244D"/>
    <w:rsid w:val="00B23D29"/>
    <w:rsid w:val="00BB5242"/>
    <w:rsid w:val="00C4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F7"/>
    <w:pPr>
      <w:ind w:left="720"/>
    </w:pPr>
  </w:style>
  <w:style w:type="paragraph" w:customStyle="1" w:styleId="Default">
    <w:name w:val="Default"/>
    <w:basedOn w:val="Normal"/>
    <w:rsid w:val="00736FF7"/>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C4206E"/>
    <w:rPr>
      <w:color w:val="0000FF"/>
      <w:u w:val="single"/>
    </w:rPr>
  </w:style>
  <w:style w:type="paragraph" w:styleId="Header">
    <w:name w:val="header"/>
    <w:basedOn w:val="Normal"/>
    <w:link w:val="HeaderChar"/>
    <w:uiPriority w:val="99"/>
    <w:unhideWhenUsed/>
    <w:rsid w:val="004842C1"/>
    <w:pPr>
      <w:tabs>
        <w:tab w:val="center" w:pos="4513"/>
        <w:tab w:val="right" w:pos="9026"/>
      </w:tabs>
    </w:pPr>
  </w:style>
  <w:style w:type="character" w:customStyle="1" w:styleId="HeaderChar">
    <w:name w:val="Header Char"/>
    <w:basedOn w:val="DefaultParagraphFont"/>
    <w:link w:val="Header"/>
    <w:uiPriority w:val="99"/>
    <w:rsid w:val="004842C1"/>
    <w:rPr>
      <w:rFonts w:ascii="Calibri" w:hAnsi="Calibri" w:cs="Times New Roman"/>
    </w:rPr>
  </w:style>
  <w:style w:type="paragraph" w:styleId="Footer">
    <w:name w:val="footer"/>
    <w:basedOn w:val="Normal"/>
    <w:link w:val="FooterChar"/>
    <w:uiPriority w:val="99"/>
    <w:unhideWhenUsed/>
    <w:rsid w:val="004842C1"/>
    <w:pPr>
      <w:tabs>
        <w:tab w:val="center" w:pos="4513"/>
        <w:tab w:val="right" w:pos="9026"/>
      </w:tabs>
    </w:pPr>
  </w:style>
  <w:style w:type="character" w:customStyle="1" w:styleId="FooterChar">
    <w:name w:val="Footer Char"/>
    <w:basedOn w:val="DefaultParagraphFont"/>
    <w:link w:val="Footer"/>
    <w:uiPriority w:val="99"/>
    <w:rsid w:val="004842C1"/>
    <w:rPr>
      <w:rFonts w:ascii="Calibri" w:hAnsi="Calibri" w:cs="Times New Roman"/>
    </w:rPr>
  </w:style>
  <w:style w:type="paragraph" w:styleId="BalloonText">
    <w:name w:val="Balloon Text"/>
    <w:basedOn w:val="Normal"/>
    <w:link w:val="BalloonTextChar"/>
    <w:uiPriority w:val="99"/>
    <w:semiHidden/>
    <w:unhideWhenUsed/>
    <w:rsid w:val="004842C1"/>
    <w:rPr>
      <w:rFonts w:ascii="Tahoma" w:hAnsi="Tahoma" w:cs="Tahoma"/>
      <w:sz w:val="16"/>
      <w:szCs w:val="16"/>
    </w:rPr>
  </w:style>
  <w:style w:type="character" w:customStyle="1" w:styleId="BalloonTextChar">
    <w:name w:val="Balloon Text Char"/>
    <w:basedOn w:val="DefaultParagraphFont"/>
    <w:link w:val="BalloonText"/>
    <w:uiPriority w:val="99"/>
    <w:semiHidden/>
    <w:rsid w:val="004842C1"/>
    <w:rPr>
      <w:rFonts w:ascii="Tahoma" w:hAnsi="Tahoma" w:cs="Tahoma"/>
      <w:sz w:val="16"/>
      <w:szCs w:val="16"/>
    </w:rPr>
  </w:style>
  <w:style w:type="paragraph" w:styleId="NormalWeb">
    <w:name w:val="Normal (Web)"/>
    <w:basedOn w:val="Normal"/>
    <w:uiPriority w:val="99"/>
    <w:semiHidden/>
    <w:unhideWhenUsed/>
    <w:rsid w:val="004131FB"/>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F7"/>
    <w:pPr>
      <w:ind w:left="720"/>
    </w:pPr>
  </w:style>
  <w:style w:type="paragraph" w:customStyle="1" w:styleId="Default">
    <w:name w:val="Default"/>
    <w:basedOn w:val="Normal"/>
    <w:rsid w:val="00736FF7"/>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C4206E"/>
    <w:rPr>
      <w:color w:val="0000FF"/>
      <w:u w:val="single"/>
    </w:rPr>
  </w:style>
  <w:style w:type="paragraph" w:styleId="Header">
    <w:name w:val="header"/>
    <w:basedOn w:val="Normal"/>
    <w:link w:val="HeaderChar"/>
    <w:uiPriority w:val="99"/>
    <w:unhideWhenUsed/>
    <w:rsid w:val="004842C1"/>
    <w:pPr>
      <w:tabs>
        <w:tab w:val="center" w:pos="4513"/>
        <w:tab w:val="right" w:pos="9026"/>
      </w:tabs>
    </w:pPr>
  </w:style>
  <w:style w:type="character" w:customStyle="1" w:styleId="HeaderChar">
    <w:name w:val="Header Char"/>
    <w:basedOn w:val="DefaultParagraphFont"/>
    <w:link w:val="Header"/>
    <w:uiPriority w:val="99"/>
    <w:rsid w:val="004842C1"/>
    <w:rPr>
      <w:rFonts w:ascii="Calibri" w:hAnsi="Calibri" w:cs="Times New Roman"/>
    </w:rPr>
  </w:style>
  <w:style w:type="paragraph" w:styleId="Footer">
    <w:name w:val="footer"/>
    <w:basedOn w:val="Normal"/>
    <w:link w:val="FooterChar"/>
    <w:uiPriority w:val="99"/>
    <w:unhideWhenUsed/>
    <w:rsid w:val="004842C1"/>
    <w:pPr>
      <w:tabs>
        <w:tab w:val="center" w:pos="4513"/>
        <w:tab w:val="right" w:pos="9026"/>
      </w:tabs>
    </w:pPr>
  </w:style>
  <w:style w:type="character" w:customStyle="1" w:styleId="FooterChar">
    <w:name w:val="Footer Char"/>
    <w:basedOn w:val="DefaultParagraphFont"/>
    <w:link w:val="Footer"/>
    <w:uiPriority w:val="99"/>
    <w:rsid w:val="004842C1"/>
    <w:rPr>
      <w:rFonts w:ascii="Calibri" w:hAnsi="Calibri" w:cs="Times New Roman"/>
    </w:rPr>
  </w:style>
  <w:style w:type="paragraph" w:styleId="BalloonText">
    <w:name w:val="Balloon Text"/>
    <w:basedOn w:val="Normal"/>
    <w:link w:val="BalloonTextChar"/>
    <w:uiPriority w:val="99"/>
    <w:semiHidden/>
    <w:unhideWhenUsed/>
    <w:rsid w:val="004842C1"/>
    <w:rPr>
      <w:rFonts w:ascii="Tahoma" w:hAnsi="Tahoma" w:cs="Tahoma"/>
      <w:sz w:val="16"/>
      <w:szCs w:val="16"/>
    </w:rPr>
  </w:style>
  <w:style w:type="character" w:customStyle="1" w:styleId="BalloonTextChar">
    <w:name w:val="Balloon Text Char"/>
    <w:basedOn w:val="DefaultParagraphFont"/>
    <w:link w:val="BalloonText"/>
    <w:uiPriority w:val="99"/>
    <w:semiHidden/>
    <w:rsid w:val="004842C1"/>
    <w:rPr>
      <w:rFonts w:ascii="Tahoma" w:hAnsi="Tahoma" w:cs="Tahoma"/>
      <w:sz w:val="16"/>
      <w:szCs w:val="16"/>
    </w:rPr>
  </w:style>
  <w:style w:type="paragraph" w:styleId="NormalWeb">
    <w:name w:val="Normal (Web)"/>
    <w:basedOn w:val="Normal"/>
    <w:uiPriority w:val="99"/>
    <w:semiHidden/>
    <w:unhideWhenUsed/>
    <w:rsid w:val="004131F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8738">
      <w:bodyDiv w:val="1"/>
      <w:marLeft w:val="0"/>
      <w:marRight w:val="0"/>
      <w:marTop w:val="0"/>
      <w:marBottom w:val="0"/>
      <w:divBdr>
        <w:top w:val="none" w:sz="0" w:space="0" w:color="auto"/>
        <w:left w:val="none" w:sz="0" w:space="0" w:color="auto"/>
        <w:bottom w:val="none" w:sz="0" w:space="0" w:color="auto"/>
        <w:right w:val="none" w:sz="0" w:space="0" w:color="auto"/>
      </w:divBdr>
    </w:div>
    <w:div w:id="15418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ellsouthwest.co.uk/project/weight-management-service" TargetMode="External"/><Relationship Id="rId13" Type="http://schemas.openxmlformats.org/officeDocument/2006/relationships/hyperlink" Target="https://www.improvinglivesplymouth.org.uk/our-services/better-futures-learning-disability-support-advice/better-futures-what-we-prov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eateatingdisorders.org.uk/support-services/online-grou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tingdisorderserviceplymouth.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rtstogether.org.uk/cardiac-rehabilitation" TargetMode="External"/><Relationship Id="rId4" Type="http://schemas.openxmlformats.org/officeDocument/2006/relationships/settings" Target="settings.xml"/><Relationship Id="rId9" Type="http://schemas.openxmlformats.org/officeDocument/2006/relationships/hyperlink" Target="https://www.livewellswacademy.co.uk/courses/74/healthy_eating_workshop/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4ED75C2</Template>
  <TotalTime>1</TotalTime>
  <Pages>1</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efemeyr</dc:creator>
  <cp:lastModifiedBy>THEOBALD Christopher, Administrator</cp:lastModifiedBy>
  <cp:revision>2</cp:revision>
  <dcterms:created xsi:type="dcterms:W3CDTF">2019-12-18T12:09:00Z</dcterms:created>
  <dcterms:modified xsi:type="dcterms:W3CDTF">2019-12-18T12:09:00Z</dcterms:modified>
</cp:coreProperties>
</file>